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0" w:type="dxa"/>
        <w:tblInd w:w="-557" w:type="dxa"/>
        <w:tblCellMar>
          <w:top w:w="67" w:type="dxa"/>
          <w:left w:w="102" w:type="dxa"/>
          <w:right w:w="54" w:type="dxa"/>
        </w:tblCellMar>
        <w:tblLook w:val="04A0" w:firstRow="1" w:lastRow="0" w:firstColumn="1" w:lastColumn="0" w:noHBand="0" w:noVBand="1"/>
      </w:tblPr>
      <w:tblGrid>
        <w:gridCol w:w="4134"/>
        <w:gridCol w:w="6126"/>
      </w:tblGrid>
      <w:tr w:rsidR="00663C38">
        <w:trPr>
          <w:trHeight w:val="872"/>
        </w:trPr>
        <w:tc>
          <w:tcPr>
            <w:tcW w:w="10260" w:type="dxa"/>
            <w:gridSpan w:val="2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:rsidR="00663C38" w:rsidRDefault="00247C4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OBRAZAC </w:t>
            </w:r>
          </w:p>
          <w:p w:rsidR="00663C38" w:rsidRDefault="00247C48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izvješća o provedenom savjetovanju s javnošću  </w:t>
            </w:r>
          </w:p>
          <w:p w:rsidR="00663C38" w:rsidRDefault="00247C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3C38">
        <w:trPr>
          <w:trHeight w:val="838"/>
        </w:trPr>
        <w:tc>
          <w:tcPr>
            <w:tcW w:w="413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663C38" w:rsidRDefault="00247C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nacrta odluke ili drugog općeg akta o kojem je savjetovanje provedeno 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663C38" w:rsidRDefault="00247C48" w:rsidP="00247C4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Nacrt prijedloga Odluke o izmjenama Odluke o pravilima, uvjetima i postupcima jednostavne nabave </w:t>
            </w:r>
          </w:p>
        </w:tc>
      </w:tr>
      <w:tr w:rsidR="00663C38">
        <w:trPr>
          <w:trHeight w:val="942"/>
        </w:trPr>
        <w:tc>
          <w:tcPr>
            <w:tcW w:w="413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663C38" w:rsidRDefault="00247C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Nositelj izrade nacrta akta (gradsko upravno tijelo koje je provelo savjetovanje)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663C38" w:rsidRDefault="00247C48" w:rsidP="00247C48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Gradski ured za financije i javnu nabavu </w:t>
            </w:r>
          </w:p>
        </w:tc>
      </w:tr>
      <w:tr w:rsidR="00663C38">
        <w:trPr>
          <w:trHeight w:val="571"/>
        </w:trPr>
        <w:tc>
          <w:tcPr>
            <w:tcW w:w="413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38" w:rsidRDefault="00247C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Vrijeme trajanja savjetovanja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663C38" w:rsidRDefault="00247C48" w:rsidP="00247C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 21. travnja 2023. do 20. svibnja 2023. </w:t>
            </w:r>
          </w:p>
        </w:tc>
      </w:tr>
      <w:tr w:rsidR="00663C38">
        <w:trPr>
          <w:trHeight w:val="618"/>
        </w:trPr>
        <w:tc>
          <w:tcPr>
            <w:tcW w:w="413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663C38" w:rsidRDefault="00247C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Metoda savjetovanja 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663C38" w:rsidRDefault="00247C48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Internetsko savjetovanje </w:t>
            </w:r>
          </w:p>
        </w:tc>
      </w:tr>
    </w:tbl>
    <w:p w:rsidR="00663C38" w:rsidRDefault="00247C48">
      <w:pPr>
        <w:spacing w:after="0"/>
        <w:ind w:left="-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60" w:type="dxa"/>
        <w:tblInd w:w="-557" w:type="dxa"/>
        <w:tblCellMar>
          <w:top w:w="63" w:type="dxa"/>
          <w:left w:w="102" w:type="dxa"/>
          <w:right w:w="46" w:type="dxa"/>
        </w:tblCellMar>
        <w:tblLook w:val="04A0" w:firstRow="1" w:lastRow="0" w:firstColumn="1" w:lastColumn="0" w:noHBand="0" w:noVBand="1"/>
      </w:tblPr>
      <w:tblGrid>
        <w:gridCol w:w="691"/>
        <w:gridCol w:w="1335"/>
        <w:gridCol w:w="1332"/>
        <w:gridCol w:w="4042"/>
        <w:gridCol w:w="2860"/>
      </w:tblGrid>
      <w:tr w:rsidR="00663C38" w:rsidTr="00AC48A6">
        <w:trPr>
          <w:trHeight w:val="1424"/>
        </w:trPr>
        <w:tc>
          <w:tcPr>
            <w:tcW w:w="691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38" w:rsidRDefault="00247C48" w:rsidP="00247C48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Red. br. </w:t>
            </w:r>
          </w:p>
        </w:tc>
        <w:tc>
          <w:tcPr>
            <w:tcW w:w="1335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8" w:rsidRDefault="00247C48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Predstavnici javnosti </w:t>
            </w:r>
          </w:p>
          <w:p w:rsidR="00663C38" w:rsidRDefault="00247C48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(pojedinac, organizacija</w:t>
            </w:r>
          </w:p>
          <w:p w:rsidR="00663C38" w:rsidRDefault="00247C48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, institucija) </w:t>
            </w:r>
          </w:p>
        </w:tc>
        <w:tc>
          <w:tcPr>
            <w:tcW w:w="1332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38" w:rsidRDefault="00247C48">
            <w:pPr>
              <w:spacing w:line="238" w:lineRule="auto"/>
              <w:ind w:left="5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Članak na koji se odnosi </w:t>
            </w:r>
          </w:p>
          <w:p w:rsidR="00663C38" w:rsidRDefault="00247C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primjedba/ prijedlog </w:t>
            </w:r>
          </w:p>
        </w:tc>
        <w:tc>
          <w:tcPr>
            <w:tcW w:w="4042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38" w:rsidRDefault="00247C48">
            <w:pPr>
              <w:ind w:left="579" w:right="5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Tekst primjedbe/ prijedloga </w:t>
            </w:r>
          </w:p>
        </w:tc>
        <w:tc>
          <w:tcPr>
            <w:tcW w:w="2860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663C38" w:rsidRDefault="00247C48">
            <w:pPr>
              <w:spacing w:line="238" w:lineRule="auto"/>
              <w:ind w:left="11"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Prihvaćanje/ neprihvaćanje primjedbe/ </w:t>
            </w:r>
          </w:p>
          <w:p w:rsidR="00663C38" w:rsidRDefault="00247C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prijedloga sa obrazloženjem </w:t>
            </w:r>
          </w:p>
        </w:tc>
      </w:tr>
      <w:tr w:rsidR="002B6D26" w:rsidTr="00AC48A6">
        <w:trPr>
          <w:trHeight w:val="1424"/>
        </w:trPr>
        <w:tc>
          <w:tcPr>
            <w:tcW w:w="691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2B6D26" w:rsidRDefault="00FC408C" w:rsidP="00247C48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335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26" w:rsidRDefault="002B6D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Građanin</w:t>
            </w:r>
          </w:p>
        </w:tc>
        <w:tc>
          <w:tcPr>
            <w:tcW w:w="1332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26" w:rsidRDefault="002B6D26">
            <w:pPr>
              <w:spacing w:line="238" w:lineRule="auto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Načelni komentar</w:t>
            </w:r>
          </w:p>
        </w:tc>
        <w:tc>
          <w:tcPr>
            <w:tcW w:w="4042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26" w:rsidRPr="002B6D26" w:rsidRDefault="002B6D26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 xml:space="preserve">Trenutno važeća Odluka ima dosta prostora za poboljšanja u smjeru transparentnosti koja su nužna obzirom na dosadašnju praksu provođenja jednostavne nabave, a osobito se to odnosi na postupke nabave koji se provode u okviru Gradskog ureda za mjesnu samoupravu. </w:t>
            </w:r>
          </w:p>
          <w:p w:rsidR="002B6D26" w:rsidRPr="002B6D26" w:rsidRDefault="002B6D26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 xml:space="preserve">Uvidom u Registar ugovora može se uočiti kako određene vrste poslova procijenjene vrijednosti ispod 70.000 kuna (primjerice nadzor nad izvođenjem radova) iz godine u godinu redovito dobiva nekoliko istih tvrtki. To upućuje da se pozivi na dostavu ponuda šalju uvijek istim gospodarskim subjektima, odnosno da nedostaje kompetitivnost u procesu nabave, što je u suprotnosti s ciljem i načelima javne nabave. </w:t>
            </w:r>
          </w:p>
          <w:p w:rsidR="002B6D26" w:rsidRPr="002B6D26" w:rsidRDefault="002B6D26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>Nadalje, u postupcima koje provodi Gradski ured za mjesnu samoupravu uočena je i tendencija cjepkanja, što je u izravnoj suprotnosti sa zakonom.</w:t>
            </w:r>
          </w:p>
          <w:p w:rsidR="002B6D26" w:rsidRPr="002B6D26" w:rsidRDefault="002B6D26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 xml:space="preserve">Zbog toga je nužno da se predloženim i eventualno dodatnim prijedlozima unaprijedi ova Odluka kako bi se u </w:t>
            </w:r>
            <w:r w:rsidRPr="002B6D2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postupcima jednostavne nabave u većoj mjeri implementirala načela navedena u članku 2. Odluke. </w:t>
            </w:r>
          </w:p>
          <w:p w:rsidR="002B6D26" w:rsidRPr="002B6D26" w:rsidRDefault="002B6D26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>Također je potrebno unaprijediti portal e-jednostavna nabava na sljedeći načini:</w:t>
            </w:r>
          </w:p>
          <w:p w:rsidR="002B6D26" w:rsidRPr="002B6D26" w:rsidRDefault="002B6D26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 xml:space="preserve">- omogućiti preuzimanje dokumentacije bez registracije </w:t>
            </w:r>
          </w:p>
          <w:p w:rsidR="002B6D26" w:rsidRPr="002B6D26" w:rsidRDefault="002B6D26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>- objavljivati na portalu zapisnike o pregledu i ocjeni ponuda</w:t>
            </w:r>
          </w:p>
          <w:p w:rsidR="002B6D26" w:rsidRPr="002B6D26" w:rsidRDefault="002B6D26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>- svu objavljenu dokumentaciju ostaviti trajno dostupnom.</w:t>
            </w:r>
          </w:p>
          <w:p w:rsidR="002B6D26" w:rsidRPr="00247C48" w:rsidRDefault="002B6D26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60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2B6D26" w:rsidRPr="002B6D26" w:rsidRDefault="002B6D26" w:rsidP="002B6D26">
            <w:pPr>
              <w:spacing w:line="238" w:lineRule="auto"/>
              <w:ind w:left="11" w:right="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Od 2023. godine Gradski ured za mjesnu samoupravu, civilnu zaštitu i sigurnost više ne šalje pozive za dostavu ponuda gospodarskim subjektima vezano uz usluge stručnog nadzora nad izvođenjem radova, već </w:t>
            </w:r>
            <w:r w:rsidR="00E85475">
              <w:rPr>
                <w:rFonts w:ascii="Times New Roman" w:eastAsia="Times New Roman" w:hAnsi="Times New Roman" w:cs="Times New Roman"/>
                <w:sz w:val="24"/>
              </w:rPr>
              <w:t>se navedeni postupci objavljuju</w:t>
            </w:r>
            <w:bookmarkStart w:id="0" w:name="_GoBack"/>
            <w:bookmarkEnd w:id="0"/>
            <w:r w:rsidRPr="002B6D26">
              <w:rPr>
                <w:rFonts w:ascii="Times New Roman" w:eastAsia="Times New Roman" w:hAnsi="Times New Roman" w:cs="Times New Roman"/>
                <w:sz w:val="24"/>
              </w:rPr>
              <w:t xml:space="preserve"> na web stranicama Grada Zagreba.</w:t>
            </w:r>
          </w:p>
          <w:p w:rsidR="002B6D26" w:rsidRPr="002B6D26" w:rsidRDefault="002B6D26" w:rsidP="002B6D26">
            <w:pPr>
              <w:spacing w:line="238" w:lineRule="auto"/>
              <w:ind w:left="11" w:right="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D26" w:rsidRDefault="002B6D26" w:rsidP="002B6D26">
            <w:pPr>
              <w:spacing w:line="238" w:lineRule="auto"/>
              <w:ind w:left="11" w:right="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>Također, što se tiče navede</w:t>
            </w:r>
            <w:r>
              <w:rPr>
                <w:rFonts w:ascii="Times New Roman" w:eastAsia="Times New Roman" w:hAnsi="Times New Roman" w:cs="Times New Roman"/>
                <w:sz w:val="24"/>
              </w:rPr>
              <w:t>nog „cjepkanja nabave“ isto se nastoji  izbjegavati</w:t>
            </w:r>
            <w:r w:rsidRPr="002B6D26">
              <w:rPr>
                <w:rFonts w:ascii="Times New Roman" w:eastAsia="Times New Roman" w:hAnsi="Times New Roman" w:cs="Times New Roman"/>
                <w:sz w:val="24"/>
              </w:rPr>
              <w:t xml:space="preserve"> i svesti</w:t>
            </w:r>
            <w:r w:rsidR="00EF091B">
              <w:rPr>
                <w:rFonts w:ascii="Times New Roman" w:eastAsia="Times New Roman" w:hAnsi="Times New Roman" w:cs="Times New Roman"/>
                <w:sz w:val="24"/>
              </w:rPr>
              <w:t xml:space="preserve"> na</w:t>
            </w:r>
            <w:r w:rsidRPr="002B6D2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minimum, koliko</w:t>
            </w:r>
            <w:r w:rsidRPr="002B6D26">
              <w:rPr>
                <w:rFonts w:ascii="Times New Roman" w:eastAsia="Times New Roman" w:hAnsi="Times New Roman" w:cs="Times New Roman"/>
                <w:sz w:val="24"/>
              </w:rPr>
              <w:t xml:space="preserve"> dozvoljava specifičnost poslovanja što se  prvenstveno odnosi na to da </w:t>
            </w:r>
            <w:r>
              <w:rPr>
                <w:rFonts w:ascii="Times New Roman" w:eastAsia="Times New Roman" w:hAnsi="Times New Roman" w:cs="Times New Roman"/>
                <w:sz w:val="24"/>
              </w:rPr>
              <w:t>se provode planovi</w:t>
            </w:r>
            <w:r w:rsidRPr="002B6D26">
              <w:rPr>
                <w:rFonts w:ascii="Times New Roman" w:eastAsia="Times New Roman" w:hAnsi="Times New Roman" w:cs="Times New Roman"/>
                <w:sz w:val="24"/>
              </w:rPr>
              <w:t xml:space="preserve"> komunalnih aktivnosti svih 17 gradskih četvrti, koji se tijekom godine višestruko mijenjaju, stoga nije mo</w:t>
            </w:r>
            <w:r w:rsidR="00EF091B">
              <w:rPr>
                <w:rFonts w:ascii="Times New Roman" w:eastAsia="Times New Roman" w:hAnsi="Times New Roman" w:cs="Times New Roman"/>
                <w:sz w:val="24"/>
              </w:rPr>
              <w:t xml:space="preserve">guće sve unaprijed predvidjeti, </w:t>
            </w:r>
            <w:r>
              <w:rPr>
                <w:rFonts w:ascii="Times New Roman" w:eastAsia="Times New Roman" w:hAnsi="Times New Roman" w:cs="Times New Roman"/>
                <w:sz w:val="24"/>
              </w:rPr>
              <w:t>provesti</w:t>
            </w:r>
            <w:r w:rsidR="00EF091B">
              <w:rPr>
                <w:rFonts w:ascii="Times New Roman" w:eastAsia="Times New Roman" w:hAnsi="Times New Roman" w:cs="Times New Roman"/>
                <w:sz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objedinit</w:t>
            </w:r>
            <w:r w:rsidR="00EF091B"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B6D26" w:rsidRDefault="002B6D26" w:rsidP="002B6D26">
            <w:pPr>
              <w:spacing w:line="238" w:lineRule="auto"/>
              <w:ind w:left="11" w:right="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6D26" w:rsidRDefault="002B6D26" w:rsidP="002B6D26">
            <w:pPr>
              <w:spacing w:line="238" w:lineRule="auto"/>
              <w:ind w:left="11" w:right="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 preuzimanje dokumentacije s portala e-jednostavna nabava potrebna je i nužna registracija zainteresiranih gospodarskih subjekata kako bi se, u slučaju izmjena u roku za dostavu ponude, svima koji su preuzeli dokumentaciju mogle poslati obavijesti o tome. Pristup dokumentaciji postupka moguć je na zahtjev</w:t>
            </w:r>
            <w:r w:rsidR="00FC408C">
              <w:rPr>
                <w:rFonts w:ascii="Times New Roman" w:eastAsia="Times New Roman" w:hAnsi="Times New Roman" w:cs="Times New Roman"/>
                <w:sz w:val="24"/>
              </w:rPr>
              <w:t xml:space="preserve"> putem elektroničke pošte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svim subjektima koji su sudjelovali u postupku nabave</w:t>
            </w:r>
            <w:r w:rsidR="00FC408C">
              <w:rPr>
                <w:rFonts w:ascii="Times New Roman" w:eastAsia="Times New Roman" w:hAnsi="Times New Roman" w:cs="Times New Roman"/>
                <w:sz w:val="24"/>
              </w:rPr>
              <w:t>, a drugim osobama sukladno odredbama Zakona o pravu na pristup informacijama. Sva dokumentacija čuva se u skladu s odredbama Zakona o javnoj nabavi.</w:t>
            </w:r>
          </w:p>
          <w:p w:rsidR="00FC408C" w:rsidRPr="002B6D26" w:rsidRDefault="00FC408C" w:rsidP="002B6D26">
            <w:pPr>
              <w:spacing w:line="238" w:lineRule="auto"/>
              <w:ind w:left="11" w:right="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7C48" w:rsidTr="00AC48A6">
        <w:trPr>
          <w:trHeight w:val="1424"/>
        </w:trPr>
        <w:tc>
          <w:tcPr>
            <w:tcW w:w="691" w:type="dxa"/>
            <w:tcBorders>
              <w:top w:val="single" w:sz="4" w:space="0" w:color="auto"/>
              <w:left w:val="double" w:sz="15" w:space="0" w:color="000000"/>
              <w:bottom w:val="single" w:sz="4" w:space="0" w:color="auto"/>
              <w:right w:val="single" w:sz="4" w:space="0" w:color="000000"/>
            </w:tcBorders>
          </w:tcPr>
          <w:p w:rsidR="00247C48" w:rsidRDefault="00FC408C" w:rsidP="00247C48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8" w:rsidRDefault="00247C4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Građanin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8" w:rsidRDefault="00FC408C">
            <w:pPr>
              <w:spacing w:line="238" w:lineRule="auto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članak </w:t>
            </w:r>
            <w:r w:rsidR="00247C48"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drugdje i Odluci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8" w:rsidRPr="00247C48" w:rsidRDefault="00247C48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7C48">
              <w:rPr>
                <w:rFonts w:ascii="Times New Roman" w:eastAsia="Times New Roman" w:hAnsi="Times New Roman" w:cs="Times New Roman"/>
                <w:sz w:val="24"/>
              </w:rPr>
              <w:t>Vrijednosti internih pragova koji su definirani Odlukom promijeniti na način da su zaokružene na 1.000 eura. Predlaže se prag 20.000 kuna zamijeniti s 3.000 eura, a prag 70.000 kuna zamijeniti s 10.000 eura.</w:t>
            </w:r>
          </w:p>
          <w:p w:rsidR="00247C48" w:rsidRPr="00247C48" w:rsidRDefault="00247C48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7C48">
              <w:rPr>
                <w:rFonts w:ascii="Times New Roman" w:eastAsia="Times New Roman" w:hAnsi="Times New Roman" w:cs="Times New Roman"/>
                <w:sz w:val="24"/>
              </w:rPr>
              <w:t>Obrazloženje:</w:t>
            </w:r>
          </w:p>
          <w:p w:rsidR="00247C48" w:rsidRDefault="00247C48" w:rsidP="002B6D2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7C48">
              <w:rPr>
                <w:rFonts w:ascii="Times New Roman" w:eastAsia="Times New Roman" w:hAnsi="Times New Roman" w:cs="Times New Roman"/>
                <w:sz w:val="24"/>
              </w:rPr>
              <w:t>Predlaže se zaokružiti vrijednosti internih pragova radi lakšeg praćenja. Predlaže se zaokruživanje na višu vrijednost zbog inflacije u prethodnom vremenskom razdoblju.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5" w:space="0" w:color="000000"/>
            </w:tcBorders>
          </w:tcPr>
          <w:p w:rsidR="00247C48" w:rsidRDefault="002B6D26" w:rsidP="002B6D26">
            <w:pPr>
              <w:spacing w:line="238" w:lineRule="auto"/>
              <w:ind w:left="11" w:right="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6D26">
              <w:rPr>
                <w:rFonts w:ascii="Times New Roman" w:eastAsia="Times New Roman" w:hAnsi="Times New Roman" w:cs="Times New Roman"/>
                <w:sz w:val="24"/>
              </w:rPr>
              <w:t>Ne prihvaća se. Prijedlogom Odluke o izmjenama Odluke o pravilima, uvjetima i postupcima jednostavne nabave namjera Grada Zagreba, kao javnog naručitelja, nije bila da se dodatno povećavaju pragovi do kojih je moguće prikupljati ponude, već njiho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vo usklađivanje s novom valutom sve sa svrhom kako bi se </w:t>
            </w:r>
            <w:r w:rsidR="00EF091B">
              <w:rPr>
                <w:rFonts w:ascii="Times New Roman" w:eastAsia="Times New Roman" w:hAnsi="Times New Roman" w:cs="Times New Roman"/>
                <w:sz w:val="24"/>
              </w:rPr>
              <w:t>očuvala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postojeća</w:t>
            </w:r>
            <w:r w:rsidR="00EF091B">
              <w:rPr>
                <w:rFonts w:ascii="Times New Roman" w:eastAsia="Times New Roman" w:hAnsi="Times New Roman" w:cs="Times New Roman"/>
                <w:sz w:val="24"/>
              </w:rPr>
              <w:t xml:space="preserve"> visoka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razina nadmetanja</w:t>
            </w:r>
            <w:r w:rsidR="00EF091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B6D26" w:rsidRDefault="002B6D26" w:rsidP="002B6D26">
            <w:pPr>
              <w:spacing w:line="238" w:lineRule="auto"/>
              <w:ind w:left="11" w:right="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6D26" w:rsidTr="00AC48A6">
        <w:trPr>
          <w:trHeight w:val="1424"/>
        </w:trPr>
        <w:tc>
          <w:tcPr>
            <w:tcW w:w="691" w:type="dxa"/>
            <w:tcBorders>
              <w:top w:val="single" w:sz="4" w:space="0" w:color="auto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2B6D26" w:rsidRDefault="00FC408C" w:rsidP="00247C48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26" w:rsidRDefault="00FC408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Građanin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26" w:rsidRDefault="00FC408C">
            <w:pPr>
              <w:spacing w:line="238" w:lineRule="auto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članak 7. stavak 1.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8C" w:rsidRPr="00FC408C" w:rsidRDefault="00FC408C" w:rsidP="00FC408C">
            <w:pPr>
              <w:pStyle w:val="CommentText"/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  <w:r w:rsidRPr="00FC408C">
              <w:rPr>
                <w:rFonts w:ascii="Times New Roman" w:eastAsia="Times New Roman" w:hAnsi="Times New Roman" w:cs="Times New Roman"/>
                <w:sz w:val="24"/>
              </w:rPr>
              <w:t>Za jednostavnu nabavu procijenjene vrijednosti do 2.650,00 eura treba zatražiti najmanje dvije ponude.</w:t>
            </w:r>
          </w:p>
          <w:p w:rsidR="00FC408C" w:rsidRPr="00FC408C" w:rsidRDefault="00FC408C" w:rsidP="00FC408C">
            <w:pPr>
              <w:pStyle w:val="CommentText"/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  <w:r w:rsidRPr="00FC408C">
              <w:rPr>
                <w:rFonts w:ascii="Times New Roman" w:eastAsia="Times New Roman" w:hAnsi="Times New Roman" w:cs="Times New Roman"/>
                <w:sz w:val="24"/>
              </w:rPr>
              <w:t>Obrazloženje:</w:t>
            </w:r>
          </w:p>
          <w:p w:rsidR="002B6D26" w:rsidRPr="00247C48" w:rsidRDefault="00FC408C" w:rsidP="00FC408C">
            <w:pPr>
              <w:pStyle w:val="CommentText"/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  <w:r w:rsidRPr="00FC408C">
              <w:rPr>
                <w:rFonts w:ascii="Times New Roman" w:eastAsia="Times New Roman" w:hAnsi="Times New Roman" w:cs="Times New Roman"/>
                <w:sz w:val="24"/>
              </w:rPr>
              <w:t xml:space="preserve">Potrebno je poboljšanje kako bi procedura bila u skladu s načelom </w:t>
            </w:r>
            <w:r w:rsidRPr="00FC408C">
              <w:rPr>
                <w:rFonts w:ascii="Times New Roman" w:eastAsia="Times New Roman" w:hAnsi="Times New Roman" w:cs="Times New Roman"/>
                <w:sz w:val="24"/>
              </w:rPr>
              <w:lastRenderedPageBreak/>
              <w:t>tržišnog natjecanja.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2B6D26" w:rsidRPr="00FC408C" w:rsidRDefault="00FC408C" w:rsidP="00FC408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C4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 prihvaća se. Prema prijedlogu Odluke o izmjenama Odluke o pravilima, uvjetima i postupcima jednostavne nabave moguće je za jednostavnu nabavu procijenjene vrijednosti do </w:t>
            </w:r>
            <w:r w:rsidRPr="00FC4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2.650,00 eura prikupiti i više od jedne ponude, odnosno moguće je postupak objaviti na web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C408C">
              <w:rPr>
                <w:rFonts w:ascii="Times New Roman" w:hAnsi="Times New Roman" w:cs="Times New Roman"/>
                <w:sz w:val="24"/>
                <w:szCs w:val="24"/>
              </w:rPr>
              <w:t xml:space="preserve">tranicama Grada Zagreba.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Uzimajući u obzir visinu praga smatramo da su predložene odredbe sukladne načelu ekonomičnosti i učinkovitosti vođenja postupaka javne nabave, a p</w:t>
            </w:r>
            <w:r w:rsidRPr="00FC408C">
              <w:rPr>
                <w:rFonts w:ascii="Times New Roman" w:hAnsi="Times New Roman" w:cs="Times New Roman"/>
                <w:sz w:val="24"/>
                <w:szCs w:val="24"/>
              </w:rPr>
              <w:t xml:space="preserve">ropisivanjem obaveznog prikupljanja najmanje dviju ponuda dodatno bi usporilo provedbu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istih.</w:t>
            </w:r>
          </w:p>
        </w:tc>
      </w:tr>
      <w:tr w:rsidR="00FC408C" w:rsidTr="00AC48A6">
        <w:trPr>
          <w:trHeight w:val="636"/>
        </w:trPr>
        <w:tc>
          <w:tcPr>
            <w:tcW w:w="691" w:type="dxa"/>
            <w:tcBorders>
              <w:top w:val="single" w:sz="4" w:space="0" w:color="auto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FC408C" w:rsidRDefault="00FC408C" w:rsidP="00247C48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8C" w:rsidRDefault="00FC408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Građanin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8C" w:rsidRDefault="00FC408C">
            <w:pPr>
              <w:spacing w:line="238" w:lineRule="auto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članak 7. stavak 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8C" w:rsidRPr="00FC408C" w:rsidRDefault="00FC408C" w:rsidP="00FC408C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C408C">
              <w:rPr>
                <w:rFonts w:ascii="Times New Roman" w:eastAsia="Times New Roman" w:hAnsi="Times New Roman" w:cs="Times New Roman"/>
                <w:sz w:val="24"/>
              </w:rPr>
              <w:t>Za jednostavnu nabavu procijenjene vrijednosti između 2.650,00 i 9.290,00 eura treba uz slanje poziva na dostavu ponuda na tri gospodarska subjekta, propisati i obavezno objavljivanje na službenoj web stranici.</w:t>
            </w:r>
          </w:p>
          <w:p w:rsidR="00FC408C" w:rsidRPr="00FC408C" w:rsidRDefault="00FC408C" w:rsidP="00FC408C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C408C">
              <w:rPr>
                <w:rFonts w:ascii="Times New Roman" w:eastAsia="Times New Roman" w:hAnsi="Times New Roman" w:cs="Times New Roman"/>
                <w:sz w:val="24"/>
              </w:rPr>
              <w:t>Obrazloženje:</w:t>
            </w:r>
          </w:p>
          <w:p w:rsidR="00FC408C" w:rsidRPr="00FC408C" w:rsidRDefault="00FC408C" w:rsidP="00FC408C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C408C">
              <w:rPr>
                <w:rFonts w:ascii="Times New Roman" w:eastAsia="Times New Roman" w:hAnsi="Times New Roman" w:cs="Times New Roman"/>
                <w:sz w:val="24"/>
              </w:rPr>
              <w:t>Radi se o relativno visokom iznosu procijenjene vrijednosti i u praksi se ova kategorija jednostavne nabave provodi vrlo netransparentno. Nije jasno tko i po kojim kriterijima određuje kome će se slati pozivi na ponude što nije u skladu s načelom tržišnog natjecanja i transparentnosti te može izazvati sumnju u pogodovanje pojedinim gospodarskim subjektima i regularnost ovako definirane procedure. Gospodarski subjekti koji su možda u mogućnosti dati povoljniju ponudu posve su isključeni iz procedure. Objavom na web stranicama grada i ove kategorije postupaka javne nabave omogućila bi se veća konkurentnost i posljedično postizanje povoljnije cijene za grad.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AC48A6" w:rsidRPr="00AC48A6" w:rsidRDefault="00AC48A6" w:rsidP="00AC4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6">
              <w:rPr>
                <w:rFonts w:ascii="Times New Roman" w:hAnsi="Times New Roman" w:cs="Times New Roman"/>
                <w:sz w:val="24"/>
                <w:szCs w:val="24"/>
              </w:rPr>
              <w:t xml:space="preserve">Ne prihvaća se. Prema prijedlogu Odluke o izmjenama Odluke o pravilima, uvjetima i postupcima jednostavne nabave moguće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postupke jednostavne nabave</w:t>
            </w:r>
            <w:r w:rsidRPr="00AC48A6">
              <w:rPr>
                <w:rFonts w:ascii="Times New Roman" w:hAnsi="Times New Roman" w:cs="Times New Roman"/>
                <w:sz w:val="24"/>
                <w:szCs w:val="24"/>
              </w:rPr>
              <w:t xml:space="preserve"> procijenjene vrijednosti izme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đu 2.650,00 i 9.290,00 eura objaviti poziv za dostavu ponuda na web stranicama Grada Zagreba</w:t>
            </w:r>
            <w:r w:rsidRPr="00AC48A6">
              <w:rPr>
                <w:rFonts w:ascii="Times New Roman" w:hAnsi="Times New Roman" w:cs="Times New Roman"/>
                <w:sz w:val="24"/>
                <w:szCs w:val="24"/>
              </w:rPr>
              <w:t xml:space="preserve">. Prema evidenciji Naručitelja, Grad Zagreb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sada u ovoj godini proveo 157</w:t>
            </w:r>
            <w:r w:rsidRPr="00AC48A6">
              <w:rPr>
                <w:rFonts w:ascii="Times New Roman" w:hAnsi="Times New Roman" w:cs="Times New Roman"/>
                <w:sz w:val="24"/>
                <w:szCs w:val="24"/>
              </w:rPr>
              <w:t xml:space="preserve"> postupaka jednostavne nabave precijenjene vrijednosti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između 2.650,00 i 9.290,00 eura</w:t>
            </w:r>
            <w:r w:rsidRPr="00AC48A6">
              <w:rPr>
                <w:rFonts w:ascii="Times New Roman" w:hAnsi="Times New Roman" w:cs="Times New Roman"/>
                <w:sz w:val="24"/>
                <w:szCs w:val="24"/>
              </w:rPr>
              <w:t>, od kojih su 104 ili 66% bila objavljena na web stranici.</w:t>
            </w:r>
          </w:p>
          <w:p w:rsidR="00FC408C" w:rsidRPr="00FC408C" w:rsidRDefault="00AC48A6" w:rsidP="00AC4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6">
              <w:rPr>
                <w:rFonts w:ascii="Times New Roman" w:hAnsi="Times New Roman" w:cs="Times New Roman"/>
                <w:sz w:val="24"/>
                <w:szCs w:val="24"/>
              </w:rPr>
              <w:t>Propisivanjem paralelne obveze prikupljanja ponuda i web objave gubi se smisao postojanja praga i produžuje trajanje samog postupka.</w:t>
            </w:r>
          </w:p>
        </w:tc>
      </w:tr>
      <w:tr w:rsidR="00AC48A6" w:rsidTr="00AC48A6">
        <w:trPr>
          <w:trHeight w:val="636"/>
        </w:trPr>
        <w:tc>
          <w:tcPr>
            <w:tcW w:w="691" w:type="dxa"/>
            <w:tcBorders>
              <w:top w:val="single" w:sz="4" w:space="0" w:color="auto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AC48A6" w:rsidRDefault="00AC48A6" w:rsidP="00247C48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6" w:rsidRDefault="00AC48A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Građanin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6" w:rsidRDefault="00AC48A6">
            <w:pPr>
              <w:spacing w:line="238" w:lineRule="auto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Članak 7. stavci 3. i 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6" w:rsidRPr="00AC48A6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C48A6">
              <w:rPr>
                <w:rFonts w:ascii="Times New Roman" w:eastAsia="Times New Roman" w:hAnsi="Times New Roman" w:cs="Times New Roman"/>
                <w:sz w:val="24"/>
              </w:rPr>
              <w:t>Predlaže se nabrojati u vidu natuknica opravdane okolnosti koje omogućuju izuzeće od primjene stavaka 2. i 5. ili na drugi način preformulirati spomenute odredbe.</w:t>
            </w:r>
          </w:p>
          <w:p w:rsidR="00AC48A6" w:rsidRPr="00AC48A6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C48A6">
              <w:rPr>
                <w:rFonts w:ascii="Times New Roman" w:eastAsia="Times New Roman" w:hAnsi="Times New Roman" w:cs="Times New Roman"/>
                <w:sz w:val="24"/>
              </w:rPr>
              <w:t>Obrazloženje:</w:t>
            </w:r>
          </w:p>
          <w:p w:rsidR="00AC48A6" w:rsidRPr="00FC408C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C48A6">
              <w:rPr>
                <w:rFonts w:ascii="Times New Roman" w:eastAsia="Times New Roman" w:hAnsi="Times New Roman" w:cs="Times New Roman"/>
                <w:sz w:val="24"/>
              </w:rPr>
              <w:t xml:space="preserve">Dio teksta naveden u zagradi teško se </w:t>
            </w:r>
            <w:r w:rsidRPr="00AC48A6">
              <w:rPr>
                <w:rFonts w:ascii="Times New Roman" w:eastAsia="Times New Roman" w:hAnsi="Times New Roman" w:cs="Times New Roman"/>
                <w:sz w:val="24"/>
              </w:rPr>
              <w:lastRenderedPageBreak/>
              <w:t>čita i razumije.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AC48A6" w:rsidRPr="00AC48A6" w:rsidRDefault="00AC48A6" w:rsidP="00AC4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Prihvaća se</w:t>
            </w:r>
          </w:p>
        </w:tc>
      </w:tr>
      <w:tr w:rsidR="00AC48A6" w:rsidTr="00AC48A6">
        <w:trPr>
          <w:trHeight w:val="636"/>
        </w:trPr>
        <w:tc>
          <w:tcPr>
            <w:tcW w:w="691" w:type="dxa"/>
            <w:tcBorders>
              <w:top w:val="single" w:sz="4" w:space="0" w:color="auto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AC48A6" w:rsidRDefault="00AC48A6" w:rsidP="00247C48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6" w:rsidRDefault="00AC48A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Građanin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6" w:rsidRDefault="00AC48A6">
            <w:pPr>
              <w:spacing w:line="238" w:lineRule="auto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Članak 7. stavak 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6" w:rsidRPr="00AC48A6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C48A6">
              <w:rPr>
                <w:rFonts w:ascii="Times New Roman" w:eastAsia="Times New Roman" w:hAnsi="Times New Roman" w:cs="Times New Roman"/>
                <w:sz w:val="24"/>
              </w:rPr>
              <w:t>Predlaže se definirati tko pregledava i odobrava obrazloženje opravdanih okolnosti za izuzeće od primjene od primjene stavaka 2. i 5. članka 7.</w:t>
            </w:r>
          </w:p>
          <w:p w:rsidR="00AC48A6" w:rsidRPr="00AC48A6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C48A6">
              <w:rPr>
                <w:rFonts w:ascii="Times New Roman" w:eastAsia="Times New Roman" w:hAnsi="Times New Roman" w:cs="Times New Roman"/>
                <w:sz w:val="24"/>
              </w:rPr>
              <w:t>Obrazloženje:</w:t>
            </w:r>
          </w:p>
          <w:p w:rsidR="00AC48A6" w:rsidRPr="00AC48A6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C48A6">
              <w:rPr>
                <w:rFonts w:ascii="Times New Roman" w:eastAsia="Times New Roman" w:hAnsi="Times New Roman" w:cs="Times New Roman"/>
                <w:sz w:val="24"/>
              </w:rPr>
              <w:t>Radi transparentnosti i regularnosti potrebno je propisati tko pregledava i odobrava obrazloženje.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AC48A6" w:rsidRDefault="00AC48A6" w:rsidP="00AC4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6">
              <w:rPr>
                <w:rFonts w:ascii="Times New Roman" w:hAnsi="Times New Roman" w:cs="Times New Roman"/>
                <w:sz w:val="24"/>
                <w:szCs w:val="24"/>
              </w:rPr>
              <w:t>Ne prihvaća se. Odlukom je već propisano da obrazloženje opravdanih okolnosti mora biti sadržano u samom zahtjevu za pokretanje postupka jednostavne nabave. Zahtjev pregledava i odobrava pročelnik nadležnog gradskog upravnog tijela. Dodatno je, za pokretanje postupka nabave iz članka 2. stavka 6. potrebna  prethodna pisana suglasnost gradonačelnika.</w:t>
            </w:r>
          </w:p>
        </w:tc>
      </w:tr>
      <w:tr w:rsidR="00AC48A6" w:rsidTr="00AC48A6">
        <w:trPr>
          <w:trHeight w:val="636"/>
        </w:trPr>
        <w:tc>
          <w:tcPr>
            <w:tcW w:w="691" w:type="dxa"/>
            <w:tcBorders>
              <w:top w:val="single" w:sz="4" w:space="0" w:color="auto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AC48A6" w:rsidRDefault="00AC48A6" w:rsidP="00247C48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6" w:rsidRDefault="00AC48A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Građanin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6" w:rsidRDefault="00AC48A6">
            <w:pPr>
              <w:spacing w:line="238" w:lineRule="auto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Članak 14.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6" w:rsidRPr="00AC48A6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8A6">
              <w:rPr>
                <w:rFonts w:ascii="Times New Roman" w:eastAsia="Times New Roman" w:hAnsi="Times New Roman" w:cs="Times New Roman"/>
                <w:sz w:val="24"/>
                <w:szCs w:val="24"/>
              </w:rPr>
              <w:t>Predlaže se objaviti podatke o odabranim ponuditeljima unutar svih kategorija nabave. Uz podatke o odabranim ponuditeljima potrebno je objaviti i zapisnik o pregledu i ocjeni ponuda iz kojih su vidljivi ostali ponuditelji i visine njihovih ponuda, na način kako se to provodi kod postupaka javne nabave temeljem zakona.</w:t>
            </w:r>
          </w:p>
          <w:p w:rsidR="00AC48A6" w:rsidRPr="00AC48A6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Obrazloženje:</w:t>
            </w:r>
          </w:p>
          <w:p w:rsidR="00AC48A6" w:rsidRPr="00AC48A6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Predlaže se radi povećanja transparentnosti i kompetitivnosti postupka. </w:t>
            </w:r>
          </w:p>
          <w:p w:rsidR="00AC48A6" w:rsidRPr="00AC48A6" w:rsidRDefault="00AC48A6" w:rsidP="00AC48A6">
            <w:pPr>
              <w:pStyle w:val="CommentText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AC48A6" w:rsidRPr="00AC48A6" w:rsidRDefault="00AC48A6" w:rsidP="00AC4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prihvaća se. </w:t>
            </w:r>
            <w:r w:rsidR="00144142">
              <w:rPr>
                <w:rFonts w:ascii="Times New Roman" w:hAnsi="Times New Roman" w:cs="Times New Roman"/>
                <w:sz w:val="24"/>
                <w:szCs w:val="24"/>
              </w:rPr>
              <w:t xml:space="preserve">Odlukom je već propisano da se podaci o odabranom ponuditelju i ponudi objavljuju na web stranicama Grada Zagreba. Nadalje, Zakonom o javnoj nabavi propisano je da se u registru ugovora navode svi predmeti nabave čija je vrijednost jednaka ili veća od 2.650,00 eura. </w:t>
            </w:r>
            <w:r w:rsidR="00144142">
              <w:rPr>
                <w:rFonts w:ascii="Times New Roman" w:eastAsia="Times New Roman" w:hAnsi="Times New Roman" w:cs="Times New Roman"/>
                <w:sz w:val="24"/>
              </w:rPr>
              <w:t>Pristup dokumentaciji postupka moguć je na zahtjev putem elektroničke pošte svim subjektima koji su sudjelovali u postupku nabave, a drugim osobama sukladno odredbama Zakona o pravu na pristup informacijama. Slijedom navedenog smatramo kako je osigurana visoka razina transparentnosti postupaka.</w:t>
            </w:r>
          </w:p>
        </w:tc>
      </w:tr>
    </w:tbl>
    <w:p w:rsidR="00663C38" w:rsidRDefault="00247C48">
      <w:pPr>
        <w:spacing w:after="0"/>
        <w:ind w:left="-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63C38">
      <w:pgSz w:w="11904" w:h="16840"/>
      <w:pgMar w:top="10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0EB1"/>
    <w:multiLevelType w:val="hybridMultilevel"/>
    <w:tmpl w:val="B35671F6"/>
    <w:lvl w:ilvl="0" w:tplc="52F261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6E7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6470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08A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86A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A83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66E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4A2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6C0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2360F"/>
    <w:multiLevelType w:val="hybridMultilevel"/>
    <w:tmpl w:val="1362E5CA"/>
    <w:lvl w:ilvl="0" w:tplc="119AAA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8D9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401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E98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4D4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681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AA9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064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0C4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86260F"/>
    <w:multiLevelType w:val="hybridMultilevel"/>
    <w:tmpl w:val="6D887B60"/>
    <w:lvl w:ilvl="0" w:tplc="9BE294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634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4B0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A96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006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CDE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6E4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A35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699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8C32DB"/>
    <w:multiLevelType w:val="hybridMultilevel"/>
    <w:tmpl w:val="701686D2"/>
    <w:lvl w:ilvl="0" w:tplc="BF303B66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46A1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CF5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E23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C2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7A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4B4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ED0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E30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B1209"/>
    <w:multiLevelType w:val="hybridMultilevel"/>
    <w:tmpl w:val="099640D0"/>
    <w:lvl w:ilvl="0" w:tplc="FD72AAAC">
      <w:start w:val="1"/>
      <w:numFmt w:val="bullet"/>
      <w:lvlText w:val="o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0B0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6FE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CA79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AFC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872D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61B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40D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66D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CA59E5"/>
    <w:multiLevelType w:val="hybridMultilevel"/>
    <w:tmpl w:val="FD94AE5C"/>
    <w:lvl w:ilvl="0" w:tplc="799A9FC4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047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821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ADF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0B0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2F7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09B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861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045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F92B19"/>
    <w:multiLevelType w:val="hybridMultilevel"/>
    <w:tmpl w:val="3C50580E"/>
    <w:lvl w:ilvl="0" w:tplc="8AAAFF8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C45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96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C3B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A1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A50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CD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4FE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8804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794306"/>
    <w:multiLevelType w:val="hybridMultilevel"/>
    <w:tmpl w:val="FFAAE6DE"/>
    <w:lvl w:ilvl="0" w:tplc="905CB5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A2E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268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609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8E6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E07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498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0A7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69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DB58CA"/>
    <w:multiLevelType w:val="hybridMultilevel"/>
    <w:tmpl w:val="F57E9F5E"/>
    <w:lvl w:ilvl="0" w:tplc="57B41E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05D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A06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295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682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8AC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C6A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C1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A26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38"/>
    <w:rsid w:val="00144142"/>
    <w:rsid w:val="00247C48"/>
    <w:rsid w:val="002B6D26"/>
    <w:rsid w:val="00663C38"/>
    <w:rsid w:val="00942FF1"/>
    <w:rsid w:val="00AC48A6"/>
    <w:rsid w:val="00E85475"/>
    <w:rsid w:val="00EF091B"/>
    <w:rsid w:val="00FC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4109"/>
  <w15:docId w15:val="{E4B33438-D60F-446D-969E-8BABFCC4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47C48"/>
    <w:rPr>
      <w:rFonts w:eastAsia="Calibri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47C48"/>
    <w:pPr>
      <w:suppressAutoHyphens/>
      <w:spacing w:after="120" w:line="240" w:lineRule="auto"/>
    </w:pPr>
    <w:rPr>
      <w:rFonts w:asciiTheme="minorHAnsi" w:hAnsiTheme="minorHAnsi" w:cstheme="minorBidi"/>
      <w:color w:val="auto"/>
    </w:rPr>
  </w:style>
  <w:style w:type="character" w:customStyle="1" w:styleId="CommentTextChar1">
    <w:name w:val="Comment Text Char1"/>
    <w:basedOn w:val="DefaultParagraphFont"/>
    <w:uiPriority w:val="99"/>
    <w:semiHidden/>
    <w:rsid w:val="00247C48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Izvješće o provedenom savjetovanju s javnošću Nacrta pr. Zaključka o kriterijima za određivanje zakupnine.doc</vt:lpstr>
    </vt:vector>
  </TitlesOfParts>
  <Company>Grad Zagreb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Izvješće o provedenom savjetovanju s javnošću Nacrta pr. Zaključka o kriterijima za određivanje zakupnine.doc</dc:title>
  <dc:subject/>
  <dc:creator>jjandel</dc:creator>
  <cp:keywords/>
  <cp:lastModifiedBy>Igor Kozina</cp:lastModifiedBy>
  <cp:revision>5</cp:revision>
  <dcterms:created xsi:type="dcterms:W3CDTF">2023-05-29T09:57:00Z</dcterms:created>
  <dcterms:modified xsi:type="dcterms:W3CDTF">2023-05-31T10:28:00Z</dcterms:modified>
</cp:coreProperties>
</file>